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54E5" w14:textId="76D4E495" w:rsidR="009146AD" w:rsidRPr="00C37F28" w:rsidRDefault="009146AD" w:rsidP="0019412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0785E" w:rsidRPr="00C37F28" w14:paraId="2C5A11C4" w14:textId="77777777" w:rsidTr="00E46D48">
        <w:trPr>
          <w:trHeight w:val="557"/>
        </w:trPr>
        <w:tc>
          <w:tcPr>
            <w:tcW w:w="2263" w:type="dxa"/>
          </w:tcPr>
          <w:p w14:paraId="067F7C31" w14:textId="77777777" w:rsidR="00C0785E" w:rsidRPr="00C37F28" w:rsidRDefault="00C0785E" w:rsidP="00E46D48">
            <w:pPr>
              <w:spacing w:after="0" w:line="240" w:lineRule="auto"/>
              <w:rPr>
                <w:rFonts w:cstheme="minorHAnsi"/>
                <w:b/>
                <w:sz w:val="20"/>
                <w:szCs w:val="21"/>
              </w:rPr>
            </w:pPr>
            <w:r w:rsidRPr="00C37F28">
              <w:rPr>
                <w:rFonts w:cstheme="minorHAnsi"/>
                <w:b/>
                <w:color w:val="323E4F" w:themeColor="text2" w:themeShade="BF"/>
                <w:sz w:val="20"/>
                <w:szCs w:val="21"/>
              </w:rPr>
              <w:t>DINESH SUBEDI</w:t>
            </w:r>
          </w:p>
        </w:tc>
        <w:tc>
          <w:tcPr>
            <w:tcW w:w="6753" w:type="dxa"/>
          </w:tcPr>
          <w:p w14:paraId="63CC1DCB" w14:textId="77777777" w:rsidR="00C0785E" w:rsidRPr="00C37F28" w:rsidRDefault="00C0785E" w:rsidP="00E46D48">
            <w:pPr>
              <w:spacing w:after="0" w:line="240" w:lineRule="auto"/>
              <w:rPr>
                <w:rFonts w:cstheme="minorHAnsi"/>
                <w:sz w:val="20"/>
                <w:szCs w:val="21"/>
              </w:rPr>
            </w:pPr>
            <w:r w:rsidRPr="00C37F28">
              <w:rPr>
                <w:rFonts w:cstheme="minorHAnsi"/>
                <w:sz w:val="20"/>
                <w:szCs w:val="21"/>
              </w:rPr>
              <w:t xml:space="preserve">Research Fellow (Barr Lab) </w:t>
            </w:r>
          </w:p>
          <w:p w14:paraId="289FE537" w14:textId="77777777" w:rsidR="00C0785E" w:rsidRPr="00C37F28" w:rsidRDefault="00C0785E" w:rsidP="00E46D48">
            <w:pPr>
              <w:spacing w:after="0" w:line="240" w:lineRule="auto"/>
              <w:rPr>
                <w:rFonts w:cstheme="minorHAnsi"/>
                <w:sz w:val="20"/>
                <w:szCs w:val="21"/>
              </w:rPr>
            </w:pPr>
            <w:r w:rsidRPr="00C37F28">
              <w:rPr>
                <w:rFonts w:cstheme="minorHAnsi"/>
                <w:sz w:val="20"/>
                <w:szCs w:val="21"/>
              </w:rPr>
              <w:t xml:space="preserve">School of Biological Sciences, Monash University  </w:t>
            </w:r>
          </w:p>
          <w:p w14:paraId="19293B1C" w14:textId="4A4A9D76" w:rsidR="00C0785E" w:rsidRPr="00C37F28" w:rsidRDefault="00C0785E" w:rsidP="00E46D48">
            <w:pPr>
              <w:spacing w:after="0" w:line="240" w:lineRule="auto"/>
              <w:rPr>
                <w:rFonts w:cstheme="minorHAnsi"/>
                <w:sz w:val="20"/>
                <w:szCs w:val="21"/>
              </w:rPr>
            </w:pPr>
            <w:r w:rsidRPr="00C37F28">
              <w:rPr>
                <w:rFonts w:cstheme="minorHAnsi"/>
                <w:sz w:val="20"/>
                <w:szCs w:val="21"/>
              </w:rPr>
              <w:t>Tel: (+61) 0</w:t>
            </w:r>
            <w:r w:rsidR="00194121" w:rsidRPr="00C37F28">
              <w:rPr>
                <w:rFonts w:cstheme="minorHAnsi"/>
                <w:sz w:val="20"/>
                <w:szCs w:val="21"/>
              </w:rPr>
              <w:t>3</w:t>
            </w:r>
            <w:r w:rsidR="00C37F28" w:rsidRPr="00C37F28">
              <w:rPr>
                <w:rFonts w:cstheme="minorHAnsi"/>
                <w:sz w:val="20"/>
                <w:szCs w:val="21"/>
              </w:rPr>
              <w:t>99053784</w:t>
            </w:r>
          </w:p>
          <w:p w14:paraId="5DCD69A0" w14:textId="77777777" w:rsidR="00C0785E" w:rsidRPr="00C37F28" w:rsidRDefault="00C0785E" w:rsidP="00E46D48">
            <w:pPr>
              <w:spacing w:after="0" w:line="240" w:lineRule="auto"/>
              <w:rPr>
                <w:rFonts w:cstheme="minorHAnsi"/>
                <w:b/>
                <w:sz w:val="20"/>
                <w:szCs w:val="21"/>
              </w:rPr>
            </w:pPr>
            <w:r w:rsidRPr="00C37F28">
              <w:rPr>
                <w:rStyle w:val="Hyperlink"/>
                <w:rFonts w:cstheme="minorHAnsi"/>
                <w:sz w:val="20"/>
                <w:szCs w:val="21"/>
              </w:rPr>
              <w:t xml:space="preserve">Email: </w:t>
            </w:r>
            <w:hyperlink r:id="rId5" w:history="1">
              <w:r w:rsidRPr="00C37F28">
                <w:rPr>
                  <w:rStyle w:val="Hyperlink"/>
                  <w:rFonts w:cstheme="minorHAnsi"/>
                  <w:sz w:val="20"/>
                  <w:szCs w:val="21"/>
                </w:rPr>
                <w:t>di</w:t>
              </w:r>
              <w:r w:rsidRPr="00C37F28">
                <w:rPr>
                  <w:rStyle w:val="Hyperlink"/>
                  <w:rFonts w:cstheme="minorHAnsi"/>
                  <w:sz w:val="20"/>
                  <w:szCs w:val="20"/>
                </w:rPr>
                <w:t>nesh</w:t>
              </w:r>
              <w:r w:rsidRPr="00C37F28">
                <w:rPr>
                  <w:rStyle w:val="Hyperlink"/>
                  <w:rFonts w:cstheme="minorHAnsi"/>
                  <w:sz w:val="20"/>
                  <w:szCs w:val="21"/>
                </w:rPr>
                <w:t>.subedi@monash.edu |</w:t>
              </w:r>
            </w:hyperlink>
            <w:r w:rsidRPr="00C37F28">
              <w:rPr>
                <w:rStyle w:val="Hyperlink"/>
                <w:rFonts w:cstheme="minorHAnsi"/>
                <w:sz w:val="20"/>
                <w:szCs w:val="21"/>
              </w:rPr>
              <w:t xml:space="preserve"> subedi.dnes@gmail.com</w:t>
            </w:r>
          </w:p>
        </w:tc>
      </w:tr>
    </w:tbl>
    <w:p w14:paraId="16686299" w14:textId="77777777" w:rsidR="00C0785E" w:rsidRPr="00C37F28" w:rsidRDefault="00C0785E" w:rsidP="00C0785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C00000"/>
          <w:sz w:val="20"/>
          <w:szCs w:val="21"/>
        </w:rPr>
      </w:pPr>
    </w:p>
    <w:p w14:paraId="3D9B4B9E" w14:textId="77777777" w:rsidR="00C0785E" w:rsidRPr="00C37F28" w:rsidRDefault="00C0785E" w:rsidP="00C0785E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>ACADEMIC QUALIFICATION</w:t>
      </w:r>
      <w:bookmarkStart w:id="0" w:name="_GoBack"/>
      <w:bookmarkEnd w:id="0"/>
    </w:p>
    <w:p w14:paraId="09B0C38B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Doctor of Philosophy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>UNSW, Sydney, Australia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  <w:t>Aug 2015 – Mar 2019</w:t>
      </w:r>
    </w:p>
    <w:p w14:paraId="5D4A687C" w14:textId="77777777" w:rsidR="00C0785E" w:rsidRPr="00C37F28" w:rsidRDefault="00C0785E" w:rsidP="00C0785E">
      <w:pPr>
        <w:spacing w:after="0" w:line="240" w:lineRule="auto"/>
        <w:rPr>
          <w:rFonts w:cstheme="minorHAnsi"/>
          <w:bCs/>
          <w:sz w:val="20"/>
          <w:szCs w:val="20"/>
        </w:rPr>
      </w:pPr>
      <w:r w:rsidRPr="00C37F28">
        <w:rPr>
          <w:rFonts w:cstheme="minorHAnsi"/>
          <w:bCs/>
          <w:sz w:val="20"/>
          <w:szCs w:val="20"/>
        </w:rPr>
        <w:t>(Outstanding thesis remarks)</w:t>
      </w:r>
    </w:p>
    <w:p w14:paraId="0A9757B5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 xml:space="preserve">Master’s Degree 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>Tribhuvan University, Nepal</w:t>
      </w:r>
      <w:r w:rsidRPr="00C37F28">
        <w:rPr>
          <w:rFonts w:cstheme="minorHAnsi"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>Oct 2006 – Sep 2008</w:t>
      </w:r>
    </w:p>
    <w:p w14:paraId="6B0C7B7D" w14:textId="77777777" w:rsidR="00C0785E" w:rsidRPr="00C37F28" w:rsidRDefault="00C0785E" w:rsidP="00C0785E">
      <w:pPr>
        <w:spacing w:after="0" w:line="240" w:lineRule="auto"/>
        <w:rPr>
          <w:rFonts w:cstheme="minorHAnsi"/>
          <w:bCs/>
          <w:sz w:val="20"/>
          <w:szCs w:val="21"/>
        </w:rPr>
      </w:pPr>
      <w:r w:rsidRPr="00C37F28">
        <w:rPr>
          <w:rFonts w:cstheme="minorHAnsi"/>
          <w:bCs/>
          <w:sz w:val="20"/>
          <w:szCs w:val="21"/>
        </w:rPr>
        <w:t>Medical Microbiology</w:t>
      </w:r>
      <w:r w:rsidRPr="00C37F28">
        <w:rPr>
          <w:rFonts w:cstheme="minorHAnsi"/>
          <w:bCs/>
          <w:sz w:val="20"/>
          <w:szCs w:val="21"/>
        </w:rPr>
        <w:tab/>
      </w:r>
      <w:r w:rsidRPr="00C37F28">
        <w:rPr>
          <w:rFonts w:cstheme="minorHAnsi"/>
          <w:bCs/>
          <w:sz w:val="20"/>
          <w:szCs w:val="21"/>
        </w:rPr>
        <w:tab/>
      </w:r>
      <w:r w:rsidRPr="00C37F28">
        <w:rPr>
          <w:rFonts w:cstheme="minorHAnsi"/>
          <w:bCs/>
          <w:sz w:val="20"/>
          <w:szCs w:val="21"/>
        </w:rPr>
        <w:tab/>
      </w:r>
    </w:p>
    <w:p w14:paraId="58EA6837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0"/>
        </w:rPr>
      </w:pPr>
      <w:r w:rsidRPr="00C37F28">
        <w:rPr>
          <w:rFonts w:cstheme="minorHAnsi"/>
          <w:sz w:val="20"/>
          <w:szCs w:val="20"/>
        </w:rPr>
        <w:t>(Distinction average)</w:t>
      </w:r>
    </w:p>
    <w:p w14:paraId="33ACDEEC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Bachelor’s in science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>Tribhuvan University, Nepal</w:t>
      </w:r>
      <w:r w:rsidRPr="00C37F28">
        <w:rPr>
          <w:rFonts w:cstheme="minorHAnsi"/>
          <w:b/>
          <w:sz w:val="20"/>
          <w:szCs w:val="21"/>
        </w:rPr>
        <w:t xml:space="preserve"> 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  <w:t>Sep 2003 – Aug 2006</w:t>
      </w:r>
    </w:p>
    <w:p w14:paraId="09F0CE84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(</w:t>
      </w:r>
      <w:r w:rsidRPr="00C37F28">
        <w:rPr>
          <w:rFonts w:cstheme="minorHAnsi"/>
          <w:sz w:val="20"/>
          <w:szCs w:val="20"/>
        </w:rPr>
        <w:t>First division and class topper</w:t>
      </w:r>
      <w:r w:rsidRPr="00C37F28">
        <w:rPr>
          <w:rFonts w:cstheme="minorHAnsi"/>
          <w:b/>
          <w:sz w:val="20"/>
          <w:szCs w:val="20"/>
        </w:rPr>
        <w:t>)</w:t>
      </w:r>
    </w:p>
    <w:p w14:paraId="762F5C11" w14:textId="77777777" w:rsidR="00C0785E" w:rsidRPr="00C37F28" w:rsidRDefault="00C0785E" w:rsidP="00C0785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C00000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>RELEVANT EXPERIENCE AND PROJECTS</w:t>
      </w:r>
    </w:p>
    <w:p w14:paraId="11EBE846" w14:textId="77777777" w:rsidR="00C0785E" w:rsidRPr="00C37F28" w:rsidRDefault="00C0785E" w:rsidP="00C0785E">
      <w:pPr>
        <w:spacing w:after="0" w:line="240" w:lineRule="auto"/>
        <w:rPr>
          <w:rFonts w:cstheme="minorHAnsi"/>
          <w:b/>
          <w:color w:val="C00000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 xml:space="preserve">Research experience </w:t>
      </w:r>
    </w:p>
    <w:p w14:paraId="223A6EB8" w14:textId="77777777" w:rsidR="00C0785E" w:rsidRPr="00C37F28" w:rsidRDefault="00C0785E" w:rsidP="00C0785E">
      <w:pPr>
        <w:spacing w:after="0" w:line="240" w:lineRule="auto"/>
        <w:rPr>
          <w:rFonts w:cstheme="minorHAnsi"/>
          <w:b/>
          <w:color w:val="000000" w:themeColor="text1"/>
          <w:sz w:val="20"/>
          <w:szCs w:val="21"/>
        </w:rPr>
      </w:pPr>
      <w:r w:rsidRPr="00C37F28">
        <w:rPr>
          <w:rFonts w:cstheme="minorHAnsi"/>
          <w:b/>
          <w:color w:val="000000" w:themeColor="text1"/>
          <w:sz w:val="20"/>
          <w:szCs w:val="21"/>
        </w:rPr>
        <w:t>Apr 2019 – Sep 2019</w:t>
      </w:r>
    </w:p>
    <w:p w14:paraId="36B63F8B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Post-doctoral research associate |</w:t>
      </w:r>
      <w:r w:rsidRPr="00C37F28">
        <w:rPr>
          <w:rFonts w:cstheme="minorHAnsi"/>
          <w:sz w:val="20"/>
          <w:szCs w:val="21"/>
        </w:rPr>
        <w:t xml:space="preserve"> </w:t>
      </w:r>
      <w:r w:rsidRPr="00C37F28">
        <w:rPr>
          <w:rFonts w:cstheme="minorHAnsi"/>
          <w:b/>
          <w:sz w:val="20"/>
          <w:szCs w:val="21"/>
        </w:rPr>
        <w:t>University of New South Wales, Australia</w:t>
      </w:r>
    </w:p>
    <w:p w14:paraId="08B081E7" w14:textId="77777777" w:rsidR="00C0785E" w:rsidRPr="00C37F28" w:rsidRDefault="00C0785E" w:rsidP="00C0785E">
      <w:pPr>
        <w:pStyle w:val="ListParagraph"/>
        <w:spacing w:after="0"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C37F28">
        <w:rPr>
          <w:rFonts w:asciiTheme="minorHAnsi" w:hAnsiTheme="minorHAnsi" w:cstheme="minorHAnsi"/>
          <w:sz w:val="21"/>
          <w:szCs w:val="21"/>
        </w:rPr>
        <w:t xml:space="preserve">Projects: </w:t>
      </w:r>
      <w:r w:rsidRPr="00C37F28">
        <w:rPr>
          <w:rFonts w:asciiTheme="minorHAnsi" w:hAnsiTheme="minorHAnsi" w:cstheme="minorHAnsi"/>
          <w:sz w:val="21"/>
          <w:szCs w:val="21"/>
        </w:rPr>
        <w:tab/>
        <w:t>Host response in microbial keratitis,</w:t>
      </w:r>
    </w:p>
    <w:p w14:paraId="76743C8D" w14:textId="77777777" w:rsidR="00C0785E" w:rsidRPr="00C37F28" w:rsidRDefault="00C0785E" w:rsidP="00C0785E">
      <w:pPr>
        <w:pStyle w:val="ListParagraph"/>
        <w:spacing w:after="0" w:line="240" w:lineRule="auto"/>
        <w:ind w:left="1146" w:firstLine="294"/>
        <w:rPr>
          <w:rFonts w:asciiTheme="minorHAnsi" w:hAnsiTheme="minorHAnsi" w:cstheme="minorHAnsi"/>
          <w:sz w:val="21"/>
          <w:szCs w:val="21"/>
        </w:rPr>
      </w:pPr>
      <w:r w:rsidRPr="00C37F28">
        <w:rPr>
          <w:rFonts w:asciiTheme="minorHAnsi" w:hAnsiTheme="minorHAnsi" w:cstheme="minorHAnsi"/>
          <w:bCs/>
          <w:sz w:val="21"/>
          <w:szCs w:val="20"/>
          <w:lang w:val="en-GB"/>
        </w:rPr>
        <w:t>Genotyping the host immune profile in Acanthamoeba keratitis</w:t>
      </w:r>
      <w:r w:rsidRPr="00C37F2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443F1EB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Jun 2017 – Dec 2018</w:t>
      </w:r>
    </w:p>
    <w:p w14:paraId="1DA4B896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Research assistant |</w:t>
      </w:r>
      <w:r w:rsidRPr="00C37F28">
        <w:rPr>
          <w:rFonts w:cstheme="minorHAnsi"/>
          <w:sz w:val="20"/>
          <w:szCs w:val="21"/>
        </w:rPr>
        <w:t xml:space="preserve"> </w:t>
      </w:r>
      <w:r w:rsidRPr="00C37F28">
        <w:rPr>
          <w:rFonts w:cstheme="minorHAnsi"/>
          <w:b/>
          <w:sz w:val="20"/>
          <w:szCs w:val="21"/>
        </w:rPr>
        <w:t>University of New South Wales, Australia</w:t>
      </w:r>
      <w:r w:rsidRPr="00C37F28">
        <w:rPr>
          <w:rFonts w:cstheme="minorHAnsi"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ab/>
      </w:r>
    </w:p>
    <w:p w14:paraId="534A21C4" w14:textId="77777777" w:rsidR="00C0785E" w:rsidRPr="00C37F28" w:rsidRDefault="00C0785E" w:rsidP="00C0785E">
      <w:pPr>
        <w:spacing w:after="0" w:line="240" w:lineRule="auto"/>
        <w:ind w:left="426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 xml:space="preserve">Project: Genomic analysis of </w:t>
      </w:r>
      <w:r w:rsidRPr="00C37F28">
        <w:rPr>
          <w:rFonts w:cstheme="minorHAnsi"/>
          <w:i/>
          <w:sz w:val="20"/>
          <w:szCs w:val="21"/>
        </w:rPr>
        <w:t xml:space="preserve">Acanthamoeba </w:t>
      </w:r>
      <w:r w:rsidRPr="00C37F28">
        <w:rPr>
          <w:rFonts w:cstheme="minorHAnsi"/>
          <w:sz w:val="20"/>
          <w:szCs w:val="21"/>
        </w:rPr>
        <w:t xml:space="preserve">form tap water.  </w:t>
      </w:r>
    </w:p>
    <w:p w14:paraId="5DFE3CC9" w14:textId="77777777" w:rsidR="00C0785E" w:rsidRPr="00C37F28" w:rsidRDefault="00C0785E" w:rsidP="00C0785E">
      <w:pPr>
        <w:spacing w:after="0" w:line="240" w:lineRule="auto"/>
        <w:rPr>
          <w:rFonts w:cstheme="minorHAnsi"/>
          <w:b/>
          <w:color w:val="C00000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>Teaching experience</w:t>
      </w:r>
    </w:p>
    <w:p w14:paraId="7D6ECA06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Jul 2016- Dec 2018</w:t>
      </w:r>
    </w:p>
    <w:p w14:paraId="1E4954AC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Teaching assistant | University of New South Wales, Australia</w:t>
      </w:r>
      <w:r w:rsidRPr="00C37F28">
        <w:rPr>
          <w:rFonts w:cstheme="minorHAnsi"/>
          <w:b/>
          <w:sz w:val="20"/>
          <w:szCs w:val="21"/>
        </w:rPr>
        <w:tab/>
      </w:r>
      <w:r w:rsidRPr="00C37F28">
        <w:rPr>
          <w:rFonts w:cstheme="minorHAnsi"/>
          <w:b/>
          <w:sz w:val="20"/>
          <w:szCs w:val="21"/>
        </w:rPr>
        <w:tab/>
      </w:r>
    </w:p>
    <w:p w14:paraId="7E421423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Tutoring and the evaluation of undergraduate student performance</w:t>
      </w:r>
    </w:p>
    <w:p w14:paraId="480B71C2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>Jan 2009 – Jun 2014</w:t>
      </w:r>
    </w:p>
    <w:p w14:paraId="7A1800CE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21"/>
        </w:rPr>
      </w:pPr>
      <w:r w:rsidRPr="00C37F28">
        <w:rPr>
          <w:rFonts w:cstheme="minorHAnsi"/>
          <w:b/>
          <w:sz w:val="20"/>
          <w:szCs w:val="21"/>
        </w:rPr>
        <w:t xml:space="preserve">Lecturer in various colleges and Universities in Nepal </w:t>
      </w:r>
    </w:p>
    <w:p w14:paraId="05E3DD2B" w14:textId="77777777" w:rsidR="00C0785E" w:rsidRPr="00C37F28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C37F28">
        <w:rPr>
          <w:rFonts w:asciiTheme="minorHAnsi" w:hAnsiTheme="minorHAnsi" w:cstheme="minorHAnsi"/>
          <w:bCs/>
          <w:sz w:val="21"/>
          <w:szCs w:val="21"/>
        </w:rPr>
        <w:t xml:space="preserve">Department of Pharmacy | </w:t>
      </w:r>
      <w:proofErr w:type="spellStart"/>
      <w:r w:rsidRPr="00C37F28">
        <w:rPr>
          <w:rFonts w:asciiTheme="minorHAnsi" w:hAnsiTheme="minorHAnsi" w:cstheme="minorHAnsi"/>
          <w:bCs/>
          <w:sz w:val="21"/>
          <w:szCs w:val="21"/>
        </w:rPr>
        <w:t>Purbhanchal</w:t>
      </w:r>
      <w:proofErr w:type="spellEnd"/>
      <w:r w:rsidRPr="00C37F28">
        <w:rPr>
          <w:rFonts w:asciiTheme="minorHAnsi" w:hAnsiTheme="minorHAnsi" w:cstheme="minorHAnsi"/>
          <w:bCs/>
          <w:sz w:val="21"/>
          <w:szCs w:val="21"/>
        </w:rPr>
        <w:t xml:space="preserve"> University, Nepal </w:t>
      </w:r>
    </w:p>
    <w:p w14:paraId="11A877B1" w14:textId="77777777" w:rsidR="00C0785E" w:rsidRPr="00C37F28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C37F28">
        <w:rPr>
          <w:rFonts w:asciiTheme="minorHAnsi" w:hAnsiTheme="minorHAnsi" w:cstheme="minorHAnsi"/>
          <w:bCs/>
          <w:sz w:val="21"/>
          <w:szCs w:val="21"/>
        </w:rPr>
        <w:t xml:space="preserve">Department of Public Health, National Open College, Pokhara University </w:t>
      </w:r>
    </w:p>
    <w:p w14:paraId="07047634" w14:textId="77777777" w:rsidR="00C0785E" w:rsidRPr="00C37F28" w:rsidRDefault="00C0785E" w:rsidP="00C0785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C37F28">
        <w:rPr>
          <w:rFonts w:asciiTheme="minorHAnsi" w:hAnsiTheme="minorHAnsi" w:cstheme="minorHAnsi"/>
          <w:bCs/>
          <w:sz w:val="21"/>
          <w:szCs w:val="21"/>
        </w:rPr>
        <w:t xml:space="preserve">Asian College of Medical Sciences and Technology, </w:t>
      </w:r>
      <w:proofErr w:type="spellStart"/>
      <w:r w:rsidRPr="00C37F28">
        <w:rPr>
          <w:rFonts w:asciiTheme="minorHAnsi" w:hAnsiTheme="minorHAnsi" w:cstheme="minorHAnsi"/>
          <w:bCs/>
          <w:sz w:val="21"/>
          <w:szCs w:val="21"/>
        </w:rPr>
        <w:t>Kupandole</w:t>
      </w:r>
      <w:proofErr w:type="spellEnd"/>
      <w:r w:rsidRPr="00C37F28">
        <w:rPr>
          <w:rFonts w:asciiTheme="minorHAnsi" w:hAnsiTheme="minorHAnsi" w:cstheme="minorHAnsi"/>
          <w:bCs/>
          <w:sz w:val="21"/>
          <w:szCs w:val="21"/>
        </w:rPr>
        <w:t xml:space="preserve">, </w:t>
      </w:r>
      <w:proofErr w:type="spellStart"/>
      <w:r w:rsidRPr="00C37F28">
        <w:rPr>
          <w:rFonts w:asciiTheme="minorHAnsi" w:hAnsiTheme="minorHAnsi" w:cstheme="minorHAnsi"/>
          <w:bCs/>
          <w:sz w:val="21"/>
          <w:szCs w:val="21"/>
        </w:rPr>
        <w:t>Lalitpur</w:t>
      </w:r>
      <w:proofErr w:type="spellEnd"/>
      <w:r w:rsidRPr="00C37F28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1376582" w14:textId="77777777" w:rsidR="00C0785E" w:rsidRPr="00C37F28" w:rsidRDefault="00C0785E" w:rsidP="00C0785E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>RECENT HONOURS, AWARDS</w:t>
      </w:r>
      <w:r w:rsidRPr="00C37F28">
        <w:rPr>
          <w:rFonts w:cstheme="minorHAnsi"/>
          <w:color w:val="C00000"/>
          <w:sz w:val="20"/>
          <w:szCs w:val="21"/>
        </w:rPr>
        <w:t xml:space="preserve"> &amp; </w:t>
      </w:r>
      <w:r w:rsidRPr="00C37F28">
        <w:rPr>
          <w:rFonts w:cstheme="minorHAnsi"/>
          <w:b/>
          <w:color w:val="C00000"/>
          <w:sz w:val="20"/>
          <w:szCs w:val="21"/>
        </w:rPr>
        <w:t>PERSONAL CONTRIBUTIONS</w:t>
      </w:r>
      <w:r w:rsidRPr="00C37F28">
        <w:rPr>
          <w:rFonts w:cstheme="minorHAnsi"/>
          <w:color w:val="C00000"/>
          <w:sz w:val="20"/>
          <w:szCs w:val="21"/>
        </w:rPr>
        <w:tab/>
      </w:r>
      <w:r w:rsidRPr="00C37F28">
        <w:rPr>
          <w:rFonts w:cstheme="minorHAnsi"/>
          <w:sz w:val="20"/>
          <w:szCs w:val="21"/>
        </w:rPr>
        <w:t xml:space="preserve">  </w:t>
      </w:r>
    </w:p>
    <w:p w14:paraId="553E040B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UNSW Science PhD writing scholarship (2019)</w:t>
      </w:r>
    </w:p>
    <w:p w14:paraId="472DEF57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Travel Scholarship EMBL Australia (2018)</w:t>
      </w:r>
    </w:p>
    <w:p w14:paraId="4843B22C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PRSS travel scholarship, UNSW (2018)</w:t>
      </w:r>
    </w:p>
    <w:p w14:paraId="68172C75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Conference scholarship Molecular Microbiology Meeting, ASM (2018)</w:t>
      </w:r>
    </w:p>
    <w:p w14:paraId="5C11629D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Best science photo award School of Optometry and Vision Science UNSW (2018)</w:t>
      </w:r>
    </w:p>
    <w:p w14:paraId="22010045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 xml:space="preserve">PhD Scholarship School of Optometry and Vision science and UNSW (2016-2018). </w:t>
      </w:r>
    </w:p>
    <w:p w14:paraId="1B742BBD" w14:textId="77777777" w:rsidR="00C0785E" w:rsidRPr="00C37F28" w:rsidRDefault="00C0785E" w:rsidP="00C0785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C00000"/>
          <w:sz w:val="20"/>
          <w:szCs w:val="21"/>
        </w:rPr>
      </w:pPr>
      <w:r w:rsidRPr="00C37F28">
        <w:rPr>
          <w:rFonts w:cstheme="minorHAnsi"/>
          <w:b/>
          <w:color w:val="C00000"/>
          <w:sz w:val="20"/>
          <w:szCs w:val="21"/>
        </w:rPr>
        <w:t xml:space="preserve">PERSONAL CONTRIBUTIONS AND MEMBERSHIPS  </w:t>
      </w:r>
    </w:p>
    <w:p w14:paraId="52BEAEE0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Post-graduate student representative UNSW (2017-2018)</w:t>
      </w:r>
    </w:p>
    <w:p w14:paraId="7847B092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General Member of ASM Australia (2015-till date)</w:t>
      </w:r>
    </w:p>
    <w:p w14:paraId="714DD223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Member of ASM USA (2016-till date)</w:t>
      </w:r>
    </w:p>
    <w:p w14:paraId="518387B8" w14:textId="4EE9FC6D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 xml:space="preserve">Reviewers </w:t>
      </w:r>
      <w:r w:rsidR="00194121" w:rsidRPr="00C37F28">
        <w:rPr>
          <w:rFonts w:cstheme="minorHAnsi"/>
          <w:sz w:val="20"/>
          <w:szCs w:val="21"/>
        </w:rPr>
        <w:t xml:space="preserve">of peer-reviewed </w:t>
      </w:r>
      <w:r w:rsidRPr="00C37F28">
        <w:rPr>
          <w:rFonts w:cstheme="minorHAnsi"/>
          <w:sz w:val="20"/>
          <w:szCs w:val="21"/>
        </w:rPr>
        <w:t xml:space="preserve">Journals </w:t>
      </w:r>
    </w:p>
    <w:p w14:paraId="3DFA7330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Examined two undergraduate research reports</w:t>
      </w:r>
    </w:p>
    <w:p w14:paraId="4C21CE01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  <w:r w:rsidRPr="00C37F28">
        <w:rPr>
          <w:rFonts w:cstheme="minorHAnsi"/>
          <w:sz w:val="20"/>
          <w:szCs w:val="21"/>
        </w:rPr>
        <w:t>Reviewed one PhD confirmation review document</w:t>
      </w:r>
    </w:p>
    <w:p w14:paraId="044FA8C9" w14:textId="77777777" w:rsidR="00C37F28" w:rsidRDefault="00C37F28" w:rsidP="00C0785E">
      <w:pPr>
        <w:spacing w:after="0" w:line="240" w:lineRule="auto"/>
        <w:rPr>
          <w:rFonts w:cstheme="minorHAnsi"/>
          <w:b/>
          <w:bCs/>
          <w:sz w:val="20"/>
          <w:szCs w:val="21"/>
        </w:rPr>
      </w:pPr>
    </w:p>
    <w:p w14:paraId="4CEC7DDA" w14:textId="0A554549" w:rsidR="00C0785E" w:rsidRPr="00C37F28" w:rsidRDefault="00C0785E" w:rsidP="00C0785E">
      <w:pPr>
        <w:spacing w:after="0" w:line="240" w:lineRule="auto"/>
        <w:rPr>
          <w:rFonts w:cstheme="minorHAnsi"/>
          <w:b/>
          <w:bCs/>
          <w:sz w:val="20"/>
          <w:szCs w:val="21"/>
        </w:rPr>
      </w:pPr>
      <w:r w:rsidRPr="00C37F28">
        <w:rPr>
          <w:rFonts w:cstheme="minorHAnsi"/>
          <w:b/>
          <w:bCs/>
          <w:sz w:val="20"/>
          <w:szCs w:val="21"/>
        </w:rPr>
        <w:t xml:space="preserve">List of Publications </w:t>
      </w:r>
    </w:p>
    <w:p w14:paraId="27A4F36E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21"/>
        </w:rPr>
      </w:pPr>
    </w:p>
    <w:p w14:paraId="7E1B97A0" w14:textId="77777777" w:rsidR="00C0785E" w:rsidRPr="00C37F28" w:rsidRDefault="00C0785E" w:rsidP="00C0785E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C37F28">
        <w:rPr>
          <w:rFonts w:cstheme="minorHAnsi"/>
          <w:b/>
          <w:bCs/>
          <w:sz w:val="20"/>
          <w:szCs w:val="20"/>
        </w:rPr>
        <w:t xml:space="preserve">Under progress </w:t>
      </w:r>
    </w:p>
    <w:p w14:paraId="0394DF12" w14:textId="77777777" w:rsidR="00C0785E" w:rsidRPr="00C37F28" w:rsidRDefault="00C0785E" w:rsidP="00C0785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37F28">
        <w:rPr>
          <w:rFonts w:asciiTheme="minorHAnsi" w:hAnsiTheme="minorHAnsi" w:cstheme="minorHAnsi"/>
          <w:sz w:val="20"/>
          <w:szCs w:val="20"/>
        </w:rPr>
        <w:t xml:space="preserve">Nicole A. </w:t>
      </w:r>
      <w:proofErr w:type="spellStart"/>
      <w:proofErr w:type="gramStart"/>
      <w:r w:rsidRPr="00C37F28">
        <w:rPr>
          <w:rFonts w:asciiTheme="minorHAnsi" w:hAnsiTheme="minorHAnsi" w:cstheme="minorHAnsi"/>
          <w:sz w:val="20"/>
          <w:szCs w:val="20"/>
        </w:rPr>
        <w:t>Carnt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>,</w:t>
      </w:r>
      <w:r w:rsidRPr="00C37F28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  <w:r w:rsidRPr="00C37F28">
        <w:rPr>
          <w:rFonts w:asciiTheme="minorHAnsi" w:hAnsiTheme="minorHAnsi" w:cstheme="minorHAnsi"/>
          <w:b/>
          <w:bCs/>
          <w:sz w:val="20"/>
          <w:szCs w:val="20"/>
        </w:rPr>
        <w:t>Dinesh</w:t>
      </w:r>
      <w:proofErr w:type="gramEnd"/>
      <w:r w:rsidRPr="00C37F2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37F28">
        <w:rPr>
          <w:rFonts w:asciiTheme="minorHAnsi" w:hAnsiTheme="minorHAnsi" w:cstheme="minorHAnsi"/>
          <w:b/>
          <w:bCs/>
          <w:sz w:val="20"/>
          <w:szCs w:val="20"/>
        </w:rPr>
        <w:t>Subedi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>,</w:t>
      </w:r>
      <w:r w:rsidRPr="00C37F28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  <w:r w:rsidRPr="00C37F28">
        <w:rPr>
          <w:rFonts w:asciiTheme="minorHAnsi" w:hAnsiTheme="minorHAnsi" w:cstheme="minorHAnsi"/>
          <w:sz w:val="20"/>
          <w:szCs w:val="20"/>
        </w:rPr>
        <w:t>Sophie Connor,</w:t>
      </w:r>
      <w:r w:rsidRPr="00C37F28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sz w:val="20"/>
          <w:szCs w:val="20"/>
        </w:rPr>
        <w:t xml:space="preserve">and Simon </w:t>
      </w:r>
      <w:proofErr w:type="spellStart"/>
      <w:r w:rsidRPr="00C37F28">
        <w:rPr>
          <w:rFonts w:asciiTheme="minorHAnsi" w:hAnsiTheme="minorHAnsi" w:cstheme="minorHAnsi"/>
          <w:sz w:val="20"/>
          <w:szCs w:val="20"/>
        </w:rPr>
        <w:t>Kilvington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 xml:space="preserve">. </w:t>
      </w:r>
      <w:r w:rsidRPr="00C37F28">
        <w:rPr>
          <w:rFonts w:asciiTheme="minorHAnsi" w:hAnsiTheme="minorHAnsi" w:cstheme="minorHAnsi"/>
          <w:bCs/>
          <w:sz w:val="20"/>
          <w:szCs w:val="20"/>
        </w:rPr>
        <w:t xml:space="preserve">The relationship between environmental sources and the susceptibility of </w:t>
      </w:r>
      <w:r w:rsidRPr="00C37F28">
        <w:rPr>
          <w:rFonts w:asciiTheme="minorHAnsi" w:hAnsiTheme="minorHAnsi" w:cstheme="minorHAnsi"/>
          <w:bCs/>
          <w:i/>
          <w:sz w:val="20"/>
          <w:szCs w:val="20"/>
        </w:rPr>
        <w:t>Acanthamoeba</w:t>
      </w:r>
      <w:r w:rsidRPr="00C37F28">
        <w:rPr>
          <w:rFonts w:asciiTheme="minorHAnsi" w:hAnsiTheme="minorHAnsi" w:cstheme="minorHAnsi"/>
          <w:bCs/>
          <w:sz w:val="20"/>
          <w:szCs w:val="20"/>
        </w:rPr>
        <w:t xml:space="preserve"> keratitis in the United Kingdom (Under review </w:t>
      </w:r>
      <w:proofErr w:type="spellStart"/>
      <w:r w:rsidRPr="00C37F28">
        <w:rPr>
          <w:rFonts w:asciiTheme="minorHAnsi" w:hAnsiTheme="minorHAnsi" w:cstheme="minorHAnsi"/>
          <w:bCs/>
          <w:sz w:val="20"/>
          <w:szCs w:val="20"/>
        </w:rPr>
        <w:t>PlosONE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 xml:space="preserve">). </w:t>
      </w:r>
    </w:p>
    <w:p w14:paraId="013E7874" w14:textId="77777777" w:rsidR="00C0785E" w:rsidRPr="00C37F28" w:rsidRDefault="00C0785E" w:rsidP="00C0785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7F28">
        <w:rPr>
          <w:rFonts w:asciiTheme="minorHAnsi" w:hAnsiTheme="minorHAnsi" w:cstheme="minorHAnsi"/>
          <w:bCs/>
          <w:sz w:val="20"/>
          <w:szCs w:val="20"/>
        </w:rPr>
        <w:t xml:space="preserve">Nicole A. </w:t>
      </w:r>
      <w:proofErr w:type="spellStart"/>
      <w:r w:rsidRPr="00C37F28">
        <w:rPr>
          <w:rFonts w:asciiTheme="minorHAnsi" w:hAnsiTheme="minorHAnsi" w:cstheme="minorHAnsi"/>
          <w:bCs/>
          <w:sz w:val="20"/>
          <w:szCs w:val="20"/>
        </w:rPr>
        <w:t>Carnt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>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b/>
          <w:sz w:val="20"/>
          <w:szCs w:val="20"/>
        </w:rPr>
        <w:t xml:space="preserve">Dinesh </w:t>
      </w:r>
      <w:proofErr w:type="spellStart"/>
      <w:r w:rsidRPr="00C37F28">
        <w:rPr>
          <w:rFonts w:asciiTheme="minorHAnsi" w:hAnsiTheme="minorHAnsi" w:cstheme="minorHAnsi"/>
          <w:b/>
          <w:sz w:val="20"/>
          <w:szCs w:val="20"/>
        </w:rPr>
        <w:t>Subedi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>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bCs/>
          <w:sz w:val="20"/>
          <w:szCs w:val="20"/>
        </w:rPr>
        <w:t>Ann Wen Lim,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bCs/>
          <w:sz w:val="20"/>
          <w:szCs w:val="20"/>
        </w:rPr>
        <w:t>Rebecca Lee,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proofErr w:type="spellStart"/>
      <w:r w:rsidRPr="00C37F28">
        <w:rPr>
          <w:rFonts w:asciiTheme="minorHAnsi" w:hAnsiTheme="minorHAnsi" w:cstheme="minorHAnsi"/>
          <w:bCs/>
          <w:sz w:val="20"/>
          <w:szCs w:val="20"/>
        </w:rPr>
        <w:t>Priyal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 xml:space="preserve"> Mistry,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bCs/>
          <w:sz w:val="20"/>
          <w:szCs w:val="20"/>
        </w:rPr>
        <w:t>Paul R. Badenoch,</w:t>
      </w:r>
      <w:r w:rsidRPr="00C37F28">
        <w:rPr>
          <w:rFonts w:asciiTheme="minorHAnsi" w:hAnsiTheme="minorHAnsi" w:cstheme="minorHAnsi"/>
          <w:sz w:val="20"/>
          <w:szCs w:val="20"/>
        </w:rPr>
        <w:t xml:space="preserve"> </w:t>
      </w:r>
      <w:r w:rsidRPr="00C37F28">
        <w:rPr>
          <w:rFonts w:asciiTheme="minorHAnsi" w:hAnsiTheme="minorHAnsi" w:cstheme="minorHAnsi"/>
          <w:bCs/>
          <w:sz w:val="20"/>
          <w:szCs w:val="20"/>
        </w:rPr>
        <w:t xml:space="preserve">Simon </w:t>
      </w:r>
      <w:proofErr w:type="spellStart"/>
      <w:r w:rsidRPr="00C37F28">
        <w:rPr>
          <w:rFonts w:asciiTheme="minorHAnsi" w:hAnsiTheme="minorHAnsi" w:cstheme="minorHAnsi"/>
          <w:bCs/>
          <w:sz w:val="20"/>
          <w:szCs w:val="20"/>
        </w:rPr>
        <w:t>Kilvington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>,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proofErr w:type="spellStart"/>
      <w:r w:rsidRPr="00C37F28">
        <w:rPr>
          <w:rFonts w:asciiTheme="minorHAnsi" w:hAnsiTheme="minorHAnsi" w:cstheme="minorHAnsi"/>
          <w:bCs/>
          <w:sz w:val="20"/>
          <w:szCs w:val="20"/>
        </w:rPr>
        <w:t>Debarun</w:t>
      </w:r>
      <w:proofErr w:type="spellEnd"/>
      <w:r w:rsidRPr="00C37F2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C37F28">
        <w:rPr>
          <w:rFonts w:asciiTheme="minorHAnsi" w:hAnsiTheme="minorHAnsi" w:cstheme="minorHAnsi"/>
          <w:bCs/>
          <w:sz w:val="20"/>
          <w:szCs w:val="20"/>
        </w:rPr>
        <w:t>Dutta</w:t>
      </w:r>
      <w:r w:rsidRPr="00C37F28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C37F28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C37F2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7F28">
        <w:rPr>
          <w:rFonts w:asciiTheme="minorHAnsi" w:hAnsiTheme="minorHAnsi" w:cstheme="minorHAnsi"/>
          <w:sz w:val="20"/>
          <w:szCs w:val="20"/>
        </w:rPr>
        <w:t xml:space="preserve">The prevalence and seasonal variation of </w:t>
      </w:r>
      <w:r w:rsidRPr="00C37F28">
        <w:rPr>
          <w:rFonts w:asciiTheme="minorHAnsi" w:hAnsiTheme="minorHAnsi" w:cstheme="minorHAnsi"/>
          <w:i/>
          <w:sz w:val="20"/>
          <w:szCs w:val="20"/>
        </w:rPr>
        <w:t>Acanthamoeba</w:t>
      </w:r>
      <w:r w:rsidRPr="00C37F28">
        <w:rPr>
          <w:rFonts w:asciiTheme="minorHAnsi" w:hAnsiTheme="minorHAnsi" w:cstheme="minorHAnsi"/>
          <w:sz w:val="20"/>
          <w:szCs w:val="20"/>
        </w:rPr>
        <w:t xml:space="preserve"> in domestic tap-water in Greater Sydney region, Australia (Under review Clinical and Experimental Optometry).</w:t>
      </w:r>
      <w:r w:rsidRPr="00C37F2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549FB57C" w14:textId="77777777" w:rsidR="00C0785E" w:rsidRPr="00C37F28" w:rsidRDefault="00C0785E" w:rsidP="00C0785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Dinesh </w:t>
      </w:r>
      <w:proofErr w:type="gramStart"/>
      <w:r w:rsidRPr="00C37F28">
        <w:rPr>
          <w:rFonts w:asciiTheme="minorHAnsi" w:hAnsiTheme="minorHAnsi" w:cstheme="minorHAnsi"/>
          <w:b/>
          <w:bCs/>
          <w:sz w:val="20"/>
          <w:szCs w:val="20"/>
        </w:rPr>
        <w:t xml:space="preserve">Subedi, </w:t>
      </w:r>
      <w:r w:rsidRPr="00C37F28">
        <w:rPr>
          <w:rFonts w:asciiTheme="minorHAnsi" w:hAnsiTheme="minorHAnsi" w:cstheme="minorHAnsi"/>
          <w:sz w:val="20"/>
          <w:szCs w:val="20"/>
        </w:rPr>
        <w:t xml:space="preserve"> Ajay</w:t>
      </w:r>
      <w:proofErr w:type="gramEnd"/>
      <w:r w:rsidRPr="00C37F28">
        <w:rPr>
          <w:rFonts w:asciiTheme="minorHAnsi" w:hAnsiTheme="minorHAnsi" w:cstheme="minorHAnsi"/>
          <w:sz w:val="20"/>
          <w:szCs w:val="20"/>
        </w:rPr>
        <w:t xml:space="preserve"> K. Vijay, Scott A. Rice, Mark Willcox. </w:t>
      </w:r>
      <w:r w:rsidRPr="00C37F28">
        <w:rPr>
          <w:rFonts w:asciiTheme="minorHAnsi" w:eastAsia="Times New Roman" w:hAnsiTheme="minorHAnsi" w:cstheme="minorHAnsi"/>
          <w:iCs/>
          <w:sz w:val="20"/>
          <w:szCs w:val="20"/>
          <w:lang w:eastAsia="en-US"/>
        </w:rPr>
        <w:t xml:space="preserve">Cytotoxic factor </w:t>
      </w:r>
      <w:r w:rsidRPr="00C37F28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influencing acquired antimicrobial resistance in </w:t>
      </w:r>
      <w:r w:rsidRPr="00C37F28">
        <w:rPr>
          <w:rFonts w:asciiTheme="minorHAnsi" w:eastAsia="Times New Roman" w:hAnsiTheme="minorHAnsi" w:cstheme="minorHAnsi"/>
          <w:i/>
          <w:iCs/>
          <w:sz w:val="20"/>
          <w:szCs w:val="20"/>
          <w:lang w:eastAsia="en-US"/>
        </w:rPr>
        <w:t>Pseudomonas aeruginosa</w:t>
      </w:r>
      <w:r w:rsidRPr="00C37F28">
        <w:rPr>
          <w:rFonts w:asciiTheme="minorHAnsi" w:hAnsiTheme="minorHAnsi" w:cstheme="minorHAnsi"/>
          <w:i/>
          <w:iCs/>
          <w:sz w:val="20"/>
          <w:szCs w:val="20"/>
        </w:rPr>
        <w:t xml:space="preserve">. (In press Microbiology Australia) </w:t>
      </w:r>
    </w:p>
    <w:p w14:paraId="0E022A7F" w14:textId="77777777" w:rsidR="00C0785E" w:rsidRPr="00C37F28" w:rsidRDefault="00C0785E" w:rsidP="00C0785E">
      <w:pPr>
        <w:spacing w:line="240" w:lineRule="auto"/>
        <w:rPr>
          <w:rFonts w:cstheme="minorHAnsi"/>
          <w:b/>
          <w:sz w:val="20"/>
          <w:szCs w:val="20"/>
        </w:rPr>
      </w:pPr>
      <w:r w:rsidRPr="00C37F28">
        <w:rPr>
          <w:rFonts w:cstheme="minorHAnsi"/>
          <w:b/>
          <w:bCs/>
          <w:sz w:val="20"/>
          <w:szCs w:val="20"/>
        </w:rPr>
        <w:t xml:space="preserve">Published </w:t>
      </w:r>
    </w:p>
    <w:p w14:paraId="0424FDEB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Kohli GS, Vijay AK, Willcox M, Rice SA (2019) Accessory genome of the multi-drug resistant ocular isolate of Pseudomonas aeruginosa PA34. </w:t>
      </w:r>
      <w:proofErr w:type="spellStart"/>
      <w:r w:rsidRPr="00C37F28">
        <w:rPr>
          <w:rFonts w:asciiTheme="minorHAnsi" w:hAnsiTheme="minorHAnsi" w:cstheme="minorHAnsi"/>
          <w:sz w:val="20"/>
          <w:szCs w:val="20"/>
        </w:rPr>
        <w:t>PLoS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 xml:space="preserve"> ONE 14(4): e0215038. https://doi.org/10.1371/journal.pone.0215038</w:t>
      </w:r>
    </w:p>
    <w:p w14:paraId="1A2DC131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Vijay AK, Kohli GS, Rice SA, Willcox M (2018) Comparative genomics of clinical strains of </w:t>
      </w:r>
      <w:r w:rsidRPr="00C37F28">
        <w:rPr>
          <w:rFonts w:asciiTheme="minorHAnsi" w:hAnsiTheme="minorHAnsi" w:cstheme="minorHAnsi"/>
          <w:i/>
          <w:sz w:val="20"/>
          <w:szCs w:val="20"/>
        </w:rPr>
        <w:t>Pseudomonas aeruginosa</w:t>
      </w:r>
      <w:r w:rsidRPr="00C37F28">
        <w:rPr>
          <w:rFonts w:asciiTheme="minorHAnsi" w:hAnsiTheme="minorHAnsi" w:cstheme="minorHAnsi"/>
          <w:sz w:val="20"/>
          <w:szCs w:val="20"/>
        </w:rPr>
        <w:t xml:space="preserve"> isolated from different geographic sites. 8 (1) Scientific reports DOI: 10.1038/s41598-018-34020-7 </w:t>
      </w:r>
    </w:p>
    <w:p w14:paraId="68593DB4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Vijay AK, Willcox M (2018) Study of Disinfectant Resistance Genes in Ocular Isolates of </w:t>
      </w:r>
      <w:r w:rsidRPr="00C37F28">
        <w:rPr>
          <w:rFonts w:asciiTheme="minorHAnsi" w:hAnsiTheme="minorHAnsi" w:cstheme="minorHAnsi"/>
          <w:i/>
          <w:sz w:val="20"/>
          <w:szCs w:val="20"/>
        </w:rPr>
        <w:t>Pseudomonas aeruginosa</w:t>
      </w:r>
      <w:r w:rsidRPr="00C37F28">
        <w:rPr>
          <w:rFonts w:asciiTheme="minorHAnsi" w:hAnsiTheme="minorHAnsi" w:cstheme="minorHAnsi"/>
          <w:sz w:val="20"/>
          <w:szCs w:val="20"/>
        </w:rPr>
        <w:t>. Antibiotics 7 (4), 88</w:t>
      </w:r>
    </w:p>
    <w:p w14:paraId="42A1187A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Vijay AK, Kohli GS, Rice SA, Willcox M (2018) Association between possession of </w:t>
      </w:r>
      <w:proofErr w:type="spellStart"/>
      <w:r w:rsidRPr="00C37F28">
        <w:rPr>
          <w:rFonts w:asciiTheme="minorHAnsi" w:hAnsiTheme="minorHAnsi" w:cstheme="minorHAnsi"/>
          <w:sz w:val="20"/>
          <w:szCs w:val="20"/>
        </w:rPr>
        <w:t>ExoU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 xml:space="preserve"> and antibiotic resistance in Pseudomonas aeruginosa. </w:t>
      </w:r>
      <w:proofErr w:type="spellStart"/>
      <w:r w:rsidRPr="00C37F28">
        <w:rPr>
          <w:rFonts w:asciiTheme="minorHAnsi" w:hAnsiTheme="minorHAnsi" w:cstheme="minorHAnsi"/>
          <w:sz w:val="20"/>
          <w:szCs w:val="20"/>
        </w:rPr>
        <w:t>PLoS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 xml:space="preserve"> ONE 13(9): e0204936. </w:t>
      </w:r>
      <w:hyperlink r:id="rId6" w:history="1">
        <w:r w:rsidRPr="00C37F28">
          <w:rPr>
            <w:rStyle w:val="Hyperlink"/>
            <w:rFonts w:asciiTheme="minorHAnsi" w:hAnsiTheme="minorHAnsi" w:cstheme="minorHAnsi"/>
            <w:sz w:val="20"/>
            <w:szCs w:val="20"/>
          </w:rPr>
          <w:t>https://doi.org/10.1371/journal.pone.0204936</w:t>
        </w:r>
      </w:hyperlink>
      <w:r w:rsidRPr="00C37F2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934E45A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</w:t>
      </w:r>
      <w:r w:rsidRPr="00C37F28">
        <w:rPr>
          <w:rFonts w:asciiTheme="minorHAnsi" w:hAnsiTheme="minorHAnsi" w:cstheme="minorHAnsi"/>
          <w:sz w:val="20"/>
          <w:szCs w:val="20"/>
        </w:rPr>
        <w:t xml:space="preserve">, Vijay AK, Kohli GS, Rice S, Willcox M. (2018) Nucleotide sequence analysis of NPS-1 β-lactamase and a novel </w:t>
      </w:r>
      <w:proofErr w:type="spellStart"/>
      <w:r w:rsidRPr="00C37F28">
        <w:rPr>
          <w:rFonts w:asciiTheme="minorHAnsi" w:hAnsiTheme="minorHAnsi" w:cstheme="minorHAnsi"/>
          <w:sz w:val="20"/>
          <w:szCs w:val="20"/>
        </w:rPr>
        <w:t>integron</w:t>
      </w:r>
      <w:proofErr w:type="spellEnd"/>
      <w:r w:rsidRPr="00C37F28">
        <w:rPr>
          <w:rFonts w:asciiTheme="minorHAnsi" w:hAnsiTheme="minorHAnsi" w:cstheme="minorHAnsi"/>
          <w:sz w:val="20"/>
          <w:szCs w:val="20"/>
        </w:rPr>
        <w:t xml:space="preserve"> (In1427)-carrying transposon in an MDR </w:t>
      </w:r>
      <w:r w:rsidRPr="00C37F28">
        <w:rPr>
          <w:rFonts w:asciiTheme="minorHAnsi" w:hAnsiTheme="minorHAnsi" w:cstheme="minorHAnsi"/>
          <w:i/>
          <w:sz w:val="20"/>
          <w:szCs w:val="20"/>
        </w:rPr>
        <w:t>Pseudomonas aeruginosa</w:t>
      </w:r>
      <w:r w:rsidRPr="00C37F28">
        <w:rPr>
          <w:rFonts w:asciiTheme="minorHAnsi" w:hAnsiTheme="minorHAnsi" w:cstheme="minorHAnsi"/>
          <w:sz w:val="20"/>
          <w:szCs w:val="20"/>
        </w:rPr>
        <w:t xml:space="preserve"> keratitis strain.  Journal of Antimicrobial Chemotherapy. 2018 Jun 1;73(6):1724-1726. </w:t>
      </w:r>
    </w:p>
    <w:p w14:paraId="3D2916FB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Vijay AK, Willcox M. (2018) Overview of mechanisms of antibiotic resistance in </w:t>
      </w:r>
      <w:r w:rsidRPr="00C37F28">
        <w:rPr>
          <w:rFonts w:asciiTheme="minorHAnsi" w:hAnsiTheme="minorHAnsi" w:cstheme="minorHAnsi"/>
          <w:i/>
          <w:sz w:val="20"/>
          <w:szCs w:val="20"/>
        </w:rPr>
        <w:t>Pseudomonas aeruginosa</w:t>
      </w:r>
      <w:r w:rsidRPr="00C37F28">
        <w:rPr>
          <w:rFonts w:asciiTheme="minorHAnsi" w:hAnsiTheme="minorHAnsi" w:cstheme="minorHAnsi"/>
          <w:sz w:val="20"/>
          <w:szCs w:val="20"/>
        </w:rPr>
        <w:t>: an ocular perspective. Clinical and Experimental Optometry 2018; 101: 162-71.</w:t>
      </w:r>
    </w:p>
    <w:p w14:paraId="6C635D31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Subedi, D</w:t>
      </w:r>
      <w:r w:rsidRPr="00C37F28">
        <w:rPr>
          <w:rFonts w:asciiTheme="minorHAnsi" w:hAnsiTheme="minorHAnsi" w:cstheme="minorHAnsi"/>
          <w:sz w:val="20"/>
          <w:szCs w:val="20"/>
        </w:rPr>
        <w:t>. and Taylor-Robinson, A.  (2016) Epidemiology of dengue in Nepal: history of incidence, current prevalence and strategies for future control.  Journal of vector borne diseases 53 (1), 1 6.</w:t>
      </w:r>
    </w:p>
    <w:p w14:paraId="3AFB21FA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Subedi, D.</w:t>
      </w:r>
      <w:r w:rsidRPr="00C37F28">
        <w:rPr>
          <w:rFonts w:asciiTheme="minorHAnsi" w:hAnsiTheme="minorHAnsi" w:cstheme="minorHAnsi"/>
          <w:sz w:val="20"/>
          <w:szCs w:val="20"/>
        </w:rPr>
        <w:t xml:space="preserve"> and Taylor-Robinson, A. (2015) Development of a Dengue Vaccine in Humans: So Near, Yet So Far SOJ Vaccine Research.  SOJ Vaccine Res 1 (1), 71.</w:t>
      </w:r>
    </w:p>
    <w:p w14:paraId="4F53535A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sz w:val="20"/>
          <w:szCs w:val="20"/>
        </w:rPr>
        <w:t>Gautam, S.</w:t>
      </w:r>
      <w:r w:rsidRPr="00C37F28">
        <w:rPr>
          <w:rFonts w:asciiTheme="minorHAnsi" w:hAnsiTheme="minorHAnsi" w:cstheme="minorHAnsi"/>
          <w:b/>
          <w:sz w:val="20"/>
          <w:szCs w:val="20"/>
        </w:rPr>
        <w:t xml:space="preserve"> Subedi, D.</w:t>
      </w:r>
      <w:r w:rsidRPr="00C37F28">
        <w:rPr>
          <w:rFonts w:asciiTheme="minorHAnsi" w:hAnsiTheme="minorHAnsi" w:cstheme="minorHAnsi"/>
          <w:sz w:val="20"/>
          <w:szCs w:val="20"/>
        </w:rPr>
        <w:t xml:space="preserve"> and Taylor-Robinson, A. (2015) Anti-Idiotype Antibody against Pre-Membrane-Specific Antibody as an Adjunct to Current Dengue Vaccination Strategy.  Immun. Dis 3, 1-7 1.</w:t>
      </w:r>
    </w:p>
    <w:p w14:paraId="4AB1943D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Subedi, D.</w:t>
      </w:r>
      <w:r w:rsidRPr="00C37F28">
        <w:rPr>
          <w:rFonts w:asciiTheme="minorHAnsi" w:hAnsiTheme="minorHAnsi" w:cstheme="minorHAnsi"/>
          <w:sz w:val="20"/>
          <w:szCs w:val="20"/>
        </w:rPr>
        <w:t xml:space="preserve"> and Taylor-Robinson, A. (2014) Laboratory Diagnosis of Dengue Infection: Current Techniques and Future Strategies. Open Journal of Clinical Diagnostics 4 (01), 63 16.</w:t>
      </w:r>
    </w:p>
    <w:p w14:paraId="1990BB42" w14:textId="77777777" w:rsidR="00C0785E" w:rsidRPr="00C37F28" w:rsidRDefault="00C0785E" w:rsidP="00C0785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inorHAnsi" w:hAnsiTheme="minorHAnsi" w:cstheme="minorHAnsi"/>
          <w:sz w:val="20"/>
          <w:szCs w:val="16"/>
        </w:rPr>
      </w:pPr>
      <w:r w:rsidRPr="00C37F28">
        <w:rPr>
          <w:rFonts w:asciiTheme="minorHAnsi" w:hAnsiTheme="minorHAnsi" w:cstheme="minorHAnsi"/>
          <w:b/>
          <w:sz w:val="20"/>
          <w:szCs w:val="20"/>
        </w:rPr>
        <w:t>Subedi, D,</w:t>
      </w:r>
      <w:r w:rsidRPr="00C37F28">
        <w:rPr>
          <w:rFonts w:asciiTheme="minorHAnsi" w:hAnsiTheme="minorHAnsi" w:cstheme="minorHAnsi"/>
          <w:sz w:val="20"/>
          <w:szCs w:val="20"/>
        </w:rPr>
        <w:t xml:space="preserve"> Adhikari, S, Bhatta DR and Acharya, GP (2010) Bacteriological Profile of Neonatal Septicaemia (master’s dissertation). </w:t>
      </w:r>
      <w:hyperlink r:id="rId7" w:history="1">
        <w:r w:rsidRPr="00C37F28">
          <w:rPr>
            <w:rStyle w:val="Hyperlink"/>
            <w:rFonts w:asciiTheme="minorHAnsi" w:hAnsiTheme="minorHAnsi" w:cstheme="minorHAnsi"/>
            <w:sz w:val="20"/>
            <w:szCs w:val="20"/>
          </w:rPr>
          <w:t>http://202.70.82.238/cgi-bin/koha/opac-ISBDdetail.pl?biblionumber=61785</w:t>
        </w:r>
      </w:hyperlink>
      <w:r w:rsidRPr="00C37F28">
        <w:rPr>
          <w:rFonts w:asciiTheme="minorHAnsi" w:hAnsiTheme="minorHAnsi" w:cstheme="minorHAnsi"/>
          <w:sz w:val="20"/>
          <w:szCs w:val="16"/>
        </w:rPr>
        <w:t xml:space="preserve"> </w:t>
      </w:r>
      <w:r w:rsidRPr="00C37F28">
        <w:rPr>
          <w:rFonts w:asciiTheme="minorHAnsi" w:hAnsiTheme="minorHAnsi" w:cstheme="minorHAnsi"/>
          <w:sz w:val="20"/>
          <w:szCs w:val="16"/>
        </w:rPr>
        <w:cr/>
      </w:r>
    </w:p>
    <w:p w14:paraId="4D4A6C58" w14:textId="77777777" w:rsidR="00C0785E" w:rsidRPr="00C37F28" w:rsidRDefault="00C0785E" w:rsidP="00C37F28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b/>
          <w:color w:val="C00000"/>
          <w:sz w:val="20"/>
          <w:szCs w:val="16"/>
        </w:rPr>
        <w:t xml:space="preserve">Conference Presentation </w:t>
      </w:r>
      <w:r w:rsidRPr="00C37F28">
        <w:rPr>
          <w:rFonts w:cstheme="minorHAnsi"/>
          <w:b/>
          <w:sz w:val="20"/>
          <w:szCs w:val="16"/>
        </w:rPr>
        <w:tab/>
        <w:t xml:space="preserve">  </w:t>
      </w:r>
    </w:p>
    <w:p w14:paraId="3B2B4C54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16"/>
        </w:rPr>
      </w:pPr>
      <w:r w:rsidRPr="00C37F28">
        <w:rPr>
          <w:rFonts w:cstheme="minorHAnsi"/>
          <w:b/>
          <w:sz w:val="20"/>
          <w:szCs w:val="16"/>
        </w:rPr>
        <w:t>Oral presentations</w:t>
      </w:r>
    </w:p>
    <w:p w14:paraId="071BFCA0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1. Accessory genome derives the virulence and resistance of the ocular isolate of </w:t>
      </w:r>
      <w:r w:rsidRPr="00C37F28">
        <w:rPr>
          <w:rFonts w:cstheme="minorHAnsi"/>
          <w:i/>
          <w:sz w:val="20"/>
          <w:szCs w:val="16"/>
        </w:rPr>
        <w:t>Pseudomonas aeruginosa</w:t>
      </w:r>
      <w:r w:rsidRPr="00C37F28">
        <w:rPr>
          <w:rFonts w:cstheme="minorHAnsi"/>
          <w:sz w:val="20"/>
          <w:szCs w:val="16"/>
        </w:rPr>
        <w:t xml:space="preserve">.  </w:t>
      </w:r>
      <w:r w:rsidRPr="00C37F28">
        <w:rPr>
          <w:rFonts w:cstheme="minorHAnsi"/>
          <w:i/>
          <w:sz w:val="20"/>
          <w:szCs w:val="16"/>
        </w:rPr>
        <w:t>February 2019, Mobile genetic element 2019, Melbourne, Australia</w:t>
      </w:r>
    </w:p>
    <w:p w14:paraId="57B72BE3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2. Possessions of </w:t>
      </w:r>
      <w:proofErr w:type="spellStart"/>
      <w:r w:rsidRPr="00C37F28">
        <w:rPr>
          <w:rFonts w:cstheme="minorHAnsi"/>
          <w:sz w:val="20"/>
          <w:szCs w:val="16"/>
        </w:rPr>
        <w:t>exoU</w:t>
      </w:r>
      <w:proofErr w:type="spellEnd"/>
      <w:r w:rsidRPr="00C37F28">
        <w:rPr>
          <w:rFonts w:cstheme="minorHAnsi"/>
          <w:sz w:val="20"/>
          <w:szCs w:val="16"/>
        </w:rPr>
        <w:t xml:space="preserve"> by </w:t>
      </w:r>
      <w:r w:rsidRPr="00C37F28">
        <w:rPr>
          <w:rFonts w:cstheme="minorHAnsi"/>
          <w:i/>
          <w:sz w:val="20"/>
          <w:szCs w:val="16"/>
        </w:rPr>
        <w:t>Pseudomonas aeruginosa</w:t>
      </w:r>
      <w:r w:rsidRPr="00C37F28">
        <w:rPr>
          <w:rFonts w:cstheme="minorHAnsi"/>
          <w:sz w:val="20"/>
          <w:szCs w:val="16"/>
        </w:rPr>
        <w:t xml:space="preserve"> is associated with increased mutations in beta lactam resistance genes. </w:t>
      </w:r>
      <w:r w:rsidRPr="00C37F28">
        <w:rPr>
          <w:rFonts w:cstheme="minorHAnsi"/>
          <w:i/>
          <w:sz w:val="20"/>
          <w:szCs w:val="16"/>
        </w:rPr>
        <w:t>June 2018, ASM microbe2018, Atlanta, USA</w:t>
      </w:r>
      <w:r w:rsidRPr="00C37F28">
        <w:rPr>
          <w:rFonts w:cstheme="minorHAnsi"/>
          <w:sz w:val="20"/>
          <w:szCs w:val="16"/>
        </w:rPr>
        <w:t>.</w:t>
      </w:r>
    </w:p>
    <w:p w14:paraId="291B9249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3. Association between pathogenic factors and antibiotic resistance in </w:t>
      </w:r>
      <w:r w:rsidRPr="00C37F28">
        <w:rPr>
          <w:rFonts w:cstheme="minorHAnsi"/>
          <w:i/>
          <w:sz w:val="20"/>
          <w:szCs w:val="16"/>
        </w:rPr>
        <w:t>Pseudomonas</w:t>
      </w:r>
      <w:r w:rsidRPr="00C37F28">
        <w:rPr>
          <w:rFonts w:cstheme="minorHAnsi"/>
          <w:sz w:val="20"/>
          <w:szCs w:val="16"/>
        </w:rPr>
        <w:t xml:space="preserve"> </w:t>
      </w:r>
      <w:r w:rsidRPr="00C37F28">
        <w:rPr>
          <w:rFonts w:cstheme="minorHAnsi"/>
          <w:i/>
          <w:sz w:val="20"/>
          <w:szCs w:val="16"/>
        </w:rPr>
        <w:t>aeruginosa</w:t>
      </w:r>
      <w:r w:rsidRPr="00C37F28">
        <w:rPr>
          <w:rFonts w:cstheme="minorHAnsi"/>
          <w:sz w:val="20"/>
          <w:szCs w:val="16"/>
        </w:rPr>
        <w:t>.</w:t>
      </w:r>
    </w:p>
    <w:p w14:paraId="21C7C6CC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September 2017, </w:t>
      </w:r>
      <w:proofErr w:type="spellStart"/>
      <w:r w:rsidRPr="00C37F28">
        <w:rPr>
          <w:rFonts w:cstheme="minorHAnsi"/>
          <w:i/>
          <w:sz w:val="20"/>
          <w:szCs w:val="16"/>
        </w:rPr>
        <w:t>BacPath</w:t>
      </w:r>
      <w:proofErr w:type="spellEnd"/>
      <w:r w:rsidRPr="00C37F28">
        <w:rPr>
          <w:rFonts w:cstheme="minorHAnsi"/>
          <w:i/>
          <w:sz w:val="20"/>
          <w:szCs w:val="16"/>
        </w:rPr>
        <w:t xml:space="preserve"> 14 Adelaide, Australia.</w:t>
      </w:r>
    </w:p>
    <w:p w14:paraId="08225681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4.  Phenotypic and genotypic characterisation of multi-drug resistance in </w:t>
      </w:r>
      <w:r w:rsidRPr="00C37F28">
        <w:rPr>
          <w:rFonts w:cstheme="minorHAnsi"/>
          <w:i/>
          <w:sz w:val="20"/>
          <w:szCs w:val="16"/>
        </w:rPr>
        <w:t>Pseudomonas</w:t>
      </w:r>
      <w:r w:rsidRPr="00C37F28">
        <w:rPr>
          <w:rFonts w:cstheme="minorHAnsi"/>
          <w:sz w:val="20"/>
          <w:szCs w:val="16"/>
        </w:rPr>
        <w:t xml:space="preserve"> </w:t>
      </w:r>
      <w:r w:rsidRPr="00C37F28">
        <w:rPr>
          <w:rFonts w:cstheme="minorHAnsi"/>
          <w:i/>
          <w:sz w:val="20"/>
          <w:szCs w:val="16"/>
        </w:rPr>
        <w:t>aeruginosa</w:t>
      </w:r>
      <w:r w:rsidRPr="00C37F28">
        <w:rPr>
          <w:rFonts w:cstheme="minorHAnsi"/>
          <w:sz w:val="20"/>
          <w:szCs w:val="16"/>
        </w:rPr>
        <w:t xml:space="preserve"> from keratitis.  </w:t>
      </w:r>
      <w:r w:rsidRPr="00C37F28">
        <w:rPr>
          <w:rFonts w:cstheme="minorHAnsi"/>
          <w:i/>
          <w:sz w:val="20"/>
          <w:szCs w:val="16"/>
        </w:rPr>
        <w:t>April 2017, Mobile genetic element, Sydney, Australia.</w:t>
      </w:r>
    </w:p>
    <w:p w14:paraId="285D56E6" w14:textId="77777777" w:rsidR="00C0785E" w:rsidRPr="00C37F28" w:rsidRDefault="00C0785E" w:rsidP="00C0785E">
      <w:pPr>
        <w:spacing w:after="0" w:line="240" w:lineRule="auto"/>
        <w:rPr>
          <w:rFonts w:cstheme="minorHAnsi"/>
          <w:b/>
          <w:sz w:val="20"/>
          <w:szCs w:val="16"/>
        </w:rPr>
      </w:pPr>
      <w:r w:rsidRPr="00C37F28">
        <w:rPr>
          <w:rFonts w:cstheme="minorHAnsi"/>
          <w:b/>
          <w:sz w:val="20"/>
          <w:szCs w:val="16"/>
        </w:rPr>
        <w:t>Poster presentations</w:t>
      </w:r>
    </w:p>
    <w:p w14:paraId="1FDB8CB3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1. Accessory genome drives virulence and resistance of the ocular isolate of </w:t>
      </w:r>
      <w:r w:rsidRPr="00C37F28">
        <w:rPr>
          <w:rFonts w:cstheme="minorHAnsi"/>
          <w:i/>
          <w:sz w:val="20"/>
          <w:szCs w:val="16"/>
        </w:rPr>
        <w:t xml:space="preserve">P. aeruginosa. </w:t>
      </w:r>
      <w:r w:rsidRPr="00C37F28">
        <w:rPr>
          <w:rFonts w:cstheme="minorHAnsi"/>
          <w:sz w:val="20"/>
          <w:szCs w:val="16"/>
        </w:rPr>
        <w:t>April 2019,</w:t>
      </w:r>
      <w:r w:rsidRPr="00C37F28">
        <w:rPr>
          <w:rFonts w:cstheme="minorHAnsi"/>
          <w:i/>
          <w:sz w:val="20"/>
          <w:szCs w:val="16"/>
        </w:rPr>
        <w:t xml:space="preserve"> </w:t>
      </w:r>
      <w:r w:rsidRPr="00C37F28">
        <w:rPr>
          <w:rFonts w:cstheme="minorHAnsi"/>
          <w:sz w:val="20"/>
          <w:szCs w:val="16"/>
        </w:rPr>
        <w:t xml:space="preserve">Annual conference of Microbiology Society of UK, Belfast, UK. </w:t>
      </w:r>
    </w:p>
    <w:p w14:paraId="44B16C05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2. Accessory genome drives virulence and resistance of the ocular isolate of </w:t>
      </w:r>
      <w:r w:rsidRPr="00C37F28">
        <w:rPr>
          <w:rFonts w:cstheme="minorHAnsi"/>
          <w:i/>
          <w:sz w:val="20"/>
          <w:szCs w:val="16"/>
        </w:rPr>
        <w:t xml:space="preserve">P. aeruginosa. </w:t>
      </w:r>
      <w:r w:rsidRPr="00C37F28">
        <w:rPr>
          <w:rFonts w:cstheme="minorHAnsi"/>
          <w:sz w:val="20"/>
          <w:szCs w:val="16"/>
        </w:rPr>
        <w:t>November 2018,</w:t>
      </w:r>
      <w:r w:rsidRPr="00C37F28">
        <w:rPr>
          <w:rFonts w:cstheme="minorHAnsi"/>
          <w:i/>
          <w:sz w:val="20"/>
          <w:szCs w:val="16"/>
        </w:rPr>
        <w:t xml:space="preserve"> </w:t>
      </w:r>
      <w:r w:rsidRPr="00C37F28">
        <w:rPr>
          <w:rFonts w:cstheme="minorHAnsi"/>
          <w:sz w:val="20"/>
          <w:szCs w:val="16"/>
        </w:rPr>
        <w:t>EMBL PhD symposium</w:t>
      </w:r>
      <w:r w:rsidRPr="00C37F28">
        <w:rPr>
          <w:rFonts w:cstheme="minorHAnsi"/>
          <w:i/>
          <w:sz w:val="20"/>
          <w:szCs w:val="16"/>
        </w:rPr>
        <w:t>,</w:t>
      </w:r>
      <w:r w:rsidRPr="00C37F28">
        <w:rPr>
          <w:rFonts w:cstheme="minorHAnsi"/>
          <w:sz w:val="20"/>
          <w:szCs w:val="16"/>
        </w:rPr>
        <w:t xml:space="preserve"> Heidelberg, Germany.</w:t>
      </w:r>
    </w:p>
    <w:p w14:paraId="6589D01C" w14:textId="77777777" w:rsidR="00C0785E" w:rsidRPr="00C37F28" w:rsidRDefault="00C0785E" w:rsidP="00C0785E">
      <w:pPr>
        <w:spacing w:after="0" w:line="240" w:lineRule="auto"/>
        <w:rPr>
          <w:rFonts w:cstheme="minorHAnsi"/>
          <w:i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3. Possessions of </w:t>
      </w:r>
      <w:proofErr w:type="spellStart"/>
      <w:r w:rsidRPr="00C37F28">
        <w:rPr>
          <w:rFonts w:cstheme="minorHAnsi"/>
          <w:sz w:val="20"/>
          <w:szCs w:val="16"/>
        </w:rPr>
        <w:t>exoU</w:t>
      </w:r>
      <w:proofErr w:type="spellEnd"/>
      <w:r w:rsidRPr="00C37F28">
        <w:rPr>
          <w:rFonts w:cstheme="minorHAnsi"/>
          <w:sz w:val="20"/>
          <w:szCs w:val="16"/>
        </w:rPr>
        <w:t xml:space="preserve"> by </w:t>
      </w:r>
      <w:r w:rsidRPr="00C37F28">
        <w:rPr>
          <w:rFonts w:cstheme="minorHAnsi"/>
          <w:i/>
          <w:sz w:val="20"/>
          <w:szCs w:val="16"/>
        </w:rPr>
        <w:t>Pseudomonas aeruginosa</w:t>
      </w:r>
      <w:r w:rsidRPr="00C37F28">
        <w:rPr>
          <w:rFonts w:cstheme="minorHAnsi"/>
          <w:sz w:val="20"/>
          <w:szCs w:val="16"/>
        </w:rPr>
        <w:t xml:space="preserve"> is associated with increased mutations in beta lactam resistance genes. </w:t>
      </w:r>
      <w:r w:rsidRPr="00C37F28">
        <w:rPr>
          <w:rFonts w:cstheme="minorHAnsi"/>
          <w:i/>
          <w:sz w:val="20"/>
          <w:szCs w:val="16"/>
        </w:rPr>
        <w:t>June 2018, ASM microbe2018, Atlanta, USA.</w:t>
      </w:r>
    </w:p>
    <w:p w14:paraId="7301A945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4. Phenotypic and genotypic characterization of multidrug resistance </w:t>
      </w:r>
      <w:r w:rsidRPr="00C37F28">
        <w:rPr>
          <w:rFonts w:cstheme="minorHAnsi"/>
          <w:i/>
          <w:sz w:val="20"/>
          <w:szCs w:val="16"/>
        </w:rPr>
        <w:t>Pseudomonas aeruginosa</w:t>
      </w:r>
      <w:r w:rsidRPr="00C37F28">
        <w:rPr>
          <w:rFonts w:cstheme="minorHAnsi"/>
          <w:sz w:val="20"/>
          <w:szCs w:val="16"/>
        </w:rPr>
        <w:t xml:space="preserve">. </w:t>
      </w:r>
    </w:p>
    <w:p w14:paraId="21C7B9E0" w14:textId="77777777" w:rsidR="00C0785E" w:rsidRPr="00C37F28" w:rsidRDefault="00C0785E" w:rsidP="00C0785E">
      <w:pPr>
        <w:spacing w:after="0" w:line="240" w:lineRule="auto"/>
        <w:rPr>
          <w:rFonts w:cstheme="minorHAnsi"/>
          <w:i/>
          <w:sz w:val="20"/>
          <w:szCs w:val="16"/>
        </w:rPr>
      </w:pPr>
      <w:r w:rsidRPr="00C37F28">
        <w:rPr>
          <w:rFonts w:cstheme="minorHAnsi"/>
          <w:i/>
          <w:sz w:val="20"/>
          <w:szCs w:val="16"/>
        </w:rPr>
        <w:t>April 2018, Molecular Microbiology Meeting 2018, Sydney, Australia.</w:t>
      </w:r>
    </w:p>
    <w:p w14:paraId="063278F5" w14:textId="77777777" w:rsidR="00C0785E" w:rsidRPr="00C37F28" w:rsidRDefault="00C0785E" w:rsidP="00C0785E">
      <w:pPr>
        <w:spacing w:after="0" w:line="240" w:lineRule="auto"/>
        <w:rPr>
          <w:rFonts w:cstheme="minorHAnsi"/>
          <w:i/>
          <w:sz w:val="20"/>
          <w:szCs w:val="16"/>
        </w:rPr>
      </w:pPr>
      <w:r w:rsidRPr="00C37F28">
        <w:rPr>
          <w:rFonts w:cstheme="minorHAnsi"/>
          <w:i/>
          <w:sz w:val="20"/>
          <w:szCs w:val="16"/>
        </w:rPr>
        <w:t>November 2017, EMBL Australia, Post graduate symposium, Sydney, Australia</w:t>
      </w:r>
    </w:p>
    <w:p w14:paraId="5956F36B" w14:textId="77777777" w:rsidR="00C0785E" w:rsidRPr="00C37F28" w:rsidRDefault="00C0785E" w:rsidP="00C0785E">
      <w:pPr>
        <w:spacing w:after="0" w:line="240" w:lineRule="auto"/>
        <w:rPr>
          <w:rFonts w:cstheme="minorHAnsi"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5. Comparison of drug resistance profile of clinical isolates of </w:t>
      </w:r>
      <w:r w:rsidRPr="00C37F28">
        <w:rPr>
          <w:rFonts w:cstheme="minorHAnsi"/>
          <w:i/>
          <w:sz w:val="20"/>
          <w:szCs w:val="16"/>
        </w:rPr>
        <w:t>Pseudomonas aeruginosa.</w:t>
      </w:r>
    </w:p>
    <w:p w14:paraId="2D555762" w14:textId="77777777" w:rsidR="00C0785E" w:rsidRPr="00C37F28" w:rsidRDefault="00C0785E" w:rsidP="00C0785E">
      <w:pPr>
        <w:spacing w:line="240" w:lineRule="auto"/>
        <w:rPr>
          <w:rFonts w:cstheme="minorHAnsi"/>
          <w:i/>
          <w:sz w:val="20"/>
          <w:szCs w:val="16"/>
        </w:rPr>
      </w:pPr>
      <w:r w:rsidRPr="00C37F28">
        <w:rPr>
          <w:rFonts w:cstheme="minorHAnsi"/>
          <w:sz w:val="20"/>
          <w:szCs w:val="16"/>
        </w:rPr>
        <w:t xml:space="preserve">March 2017, </w:t>
      </w:r>
      <w:r w:rsidRPr="00C37F28">
        <w:rPr>
          <w:rFonts w:cstheme="minorHAnsi"/>
          <w:i/>
          <w:sz w:val="20"/>
          <w:szCs w:val="16"/>
        </w:rPr>
        <w:t>Solution for drug resistance infections, Brisbane, Australia.</w:t>
      </w:r>
    </w:p>
    <w:p w14:paraId="72F3B8F2" w14:textId="77777777" w:rsidR="00C0785E" w:rsidRPr="00C37F28" w:rsidRDefault="00C0785E" w:rsidP="00C0785E">
      <w:pPr>
        <w:pStyle w:val="BodyText"/>
        <w:rPr>
          <w:rFonts w:asciiTheme="minorHAnsi" w:hAnsiTheme="minorHAnsi" w:cstheme="minorHAnsi"/>
          <w:b/>
          <w:bCs/>
          <w:sz w:val="20"/>
        </w:rPr>
      </w:pPr>
    </w:p>
    <w:p w14:paraId="504C2004" w14:textId="77777777" w:rsidR="006675E6" w:rsidRPr="00C37F28" w:rsidRDefault="006675E6" w:rsidP="009146AD">
      <w:pPr>
        <w:rPr>
          <w:sz w:val="20"/>
          <w:szCs w:val="20"/>
        </w:rPr>
      </w:pPr>
    </w:p>
    <w:sectPr w:rsidR="006675E6" w:rsidRPr="00C37F28" w:rsidSect="00F257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40BB"/>
    <w:multiLevelType w:val="hybridMultilevel"/>
    <w:tmpl w:val="584CDB0E"/>
    <w:lvl w:ilvl="0" w:tplc="3BB02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A03"/>
    <w:multiLevelType w:val="hybridMultilevel"/>
    <w:tmpl w:val="CB38BBE6"/>
    <w:lvl w:ilvl="0" w:tplc="1F94D1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59433B"/>
    <w:multiLevelType w:val="hybridMultilevel"/>
    <w:tmpl w:val="FF64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4"/>
    <w:rsid w:val="00021AB1"/>
    <w:rsid w:val="00060434"/>
    <w:rsid w:val="000974C1"/>
    <w:rsid w:val="000C2DB9"/>
    <w:rsid w:val="000D2372"/>
    <w:rsid w:val="00100F97"/>
    <w:rsid w:val="00124D1F"/>
    <w:rsid w:val="001879F2"/>
    <w:rsid w:val="00194121"/>
    <w:rsid w:val="00194799"/>
    <w:rsid w:val="001F6FCE"/>
    <w:rsid w:val="00246115"/>
    <w:rsid w:val="002760A8"/>
    <w:rsid w:val="002A2A4B"/>
    <w:rsid w:val="002B0A6B"/>
    <w:rsid w:val="002F641A"/>
    <w:rsid w:val="00334171"/>
    <w:rsid w:val="003512DD"/>
    <w:rsid w:val="003D299A"/>
    <w:rsid w:val="003E5EB7"/>
    <w:rsid w:val="00421964"/>
    <w:rsid w:val="004E4E77"/>
    <w:rsid w:val="005275AF"/>
    <w:rsid w:val="00577283"/>
    <w:rsid w:val="005A4094"/>
    <w:rsid w:val="005E7852"/>
    <w:rsid w:val="005F0A4B"/>
    <w:rsid w:val="006072E2"/>
    <w:rsid w:val="006675E6"/>
    <w:rsid w:val="006A5C10"/>
    <w:rsid w:val="006B5E72"/>
    <w:rsid w:val="007C3E37"/>
    <w:rsid w:val="007C575F"/>
    <w:rsid w:val="007F75AF"/>
    <w:rsid w:val="00855722"/>
    <w:rsid w:val="00857573"/>
    <w:rsid w:val="00871193"/>
    <w:rsid w:val="008E1E1F"/>
    <w:rsid w:val="00905B3F"/>
    <w:rsid w:val="00907991"/>
    <w:rsid w:val="009146AD"/>
    <w:rsid w:val="00920FDC"/>
    <w:rsid w:val="00961B38"/>
    <w:rsid w:val="00991A87"/>
    <w:rsid w:val="00996E42"/>
    <w:rsid w:val="009970D3"/>
    <w:rsid w:val="009B7B4B"/>
    <w:rsid w:val="009E667D"/>
    <w:rsid w:val="009F6622"/>
    <w:rsid w:val="00A022C7"/>
    <w:rsid w:val="00A1221B"/>
    <w:rsid w:val="00A63AA5"/>
    <w:rsid w:val="00AA1D20"/>
    <w:rsid w:val="00AB734F"/>
    <w:rsid w:val="00AC1E4D"/>
    <w:rsid w:val="00AF4C99"/>
    <w:rsid w:val="00AF516D"/>
    <w:rsid w:val="00B26CE1"/>
    <w:rsid w:val="00B42278"/>
    <w:rsid w:val="00B61D7F"/>
    <w:rsid w:val="00B81D80"/>
    <w:rsid w:val="00C0785E"/>
    <w:rsid w:val="00C37F28"/>
    <w:rsid w:val="00C40287"/>
    <w:rsid w:val="00C709C2"/>
    <w:rsid w:val="00C77C98"/>
    <w:rsid w:val="00C82872"/>
    <w:rsid w:val="00C84F09"/>
    <w:rsid w:val="00CD11BA"/>
    <w:rsid w:val="00CD2704"/>
    <w:rsid w:val="00CE040C"/>
    <w:rsid w:val="00D022B1"/>
    <w:rsid w:val="00D1049D"/>
    <w:rsid w:val="00D315A3"/>
    <w:rsid w:val="00D324D9"/>
    <w:rsid w:val="00E426D1"/>
    <w:rsid w:val="00E54048"/>
    <w:rsid w:val="00E7344D"/>
    <w:rsid w:val="00E92344"/>
    <w:rsid w:val="00E978A6"/>
    <w:rsid w:val="00EC38F8"/>
    <w:rsid w:val="00F2570D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A3EB8"/>
  <w14:defaultImageDpi w14:val="32767"/>
  <w15:chartTrackingRefBased/>
  <w15:docId w15:val="{529BF330-57E6-3745-8AE7-B8A5E07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964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B9"/>
    <w:rPr>
      <w:rFonts w:ascii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078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4"/>
    <w:qFormat/>
    <w:rsid w:val="00C0785E"/>
    <w:pPr>
      <w:spacing w:after="240" w:line="360" w:lineRule="auto"/>
      <w:ind w:left="720"/>
      <w:contextualSpacing/>
    </w:pPr>
    <w:rPr>
      <w:rFonts w:ascii="Times New Roman" w:eastAsiaTheme="minorEastAsia" w:hAnsi="Times New Roman"/>
      <w:sz w:val="24"/>
      <w:lang w:eastAsia="zh-CN"/>
    </w:rPr>
  </w:style>
  <w:style w:type="table" w:styleId="TableGrid">
    <w:name w:val="Table Grid"/>
    <w:basedOn w:val="TableNormal"/>
    <w:uiPriority w:val="59"/>
    <w:rsid w:val="00C0785E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0785E"/>
    <w:pPr>
      <w:spacing w:after="0" w:line="240" w:lineRule="auto"/>
    </w:pPr>
    <w:rPr>
      <w:rFonts w:ascii="Arial" w:eastAsia="Times New Roman" w:hAnsi="Arial" w:cs="Times New Roman"/>
      <w:sz w:val="21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0785E"/>
    <w:rPr>
      <w:rFonts w:ascii="Arial" w:eastAsia="Times New Roman" w:hAnsi="Arial" w:cs="Times New Roman"/>
      <w:sz w:val="21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85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4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nesh.subedi@monash.edu%20|" TargetMode="External"/><Relationship Id="rId6" Type="http://schemas.openxmlformats.org/officeDocument/2006/relationships/hyperlink" Target="https://doi.org/10.1371/journal.pone.0204936" TargetMode="External"/><Relationship Id="rId7" Type="http://schemas.openxmlformats.org/officeDocument/2006/relationships/hyperlink" Target="http://202.70.82.238/cgi-bin/koha/opac-ISBDdetail.pl?biblionumber=6178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1014</Words>
  <Characters>5784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Subedi</dc:creator>
  <cp:keywords/>
  <dc:description/>
  <cp:lastModifiedBy>Wai Chin</cp:lastModifiedBy>
  <cp:revision>4</cp:revision>
  <dcterms:created xsi:type="dcterms:W3CDTF">2019-11-01T06:11:00Z</dcterms:created>
  <dcterms:modified xsi:type="dcterms:W3CDTF">2019-11-14T01:45:00Z</dcterms:modified>
</cp:coreProperties>
</file>